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2E" w:rsidRPr="0057195D" w:rsidRDefault="00CC292E" w:rsidP="00D42605">
      <w:pPr>
        <w:widowControl w:val="0"/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CC292E" w:rsidRPr="0057195D" w:rsidRDefault="00CC292E" w:rsidP="00D42605">
      <w:pPr>
        <w:widowControl w:val="0"/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«ИНГУШСКИЙ ГОСУДАРСТВЕННЫЙ УНИВЕРСИТЕТ»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УТВЕРЖДАЮ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Проректор по учебной работе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</w:t>
      </w:r>
      <w:proofErr w:type="spellStart"/>
      <w:r w:rsidR="00C940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Батыгов</w:t>
      </w:r>
      <w:proofErr w:type="spellEnd"/>
      <w:r w:rsidR="00C940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З.О.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«___»______________ 20___г.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292E" w:rsidRPr="00DB13D5" w:rsidRDefault="00CC292E" w:rsidP="00D4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DB13D5" w:rsidRDefault="00CC292E" w:rsidP="00D42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ФОНД ОЦЕНОЧНЫХ СРЕДСТВ </w:t>
      </w:r>
      <w:r w:rsidRPr="00DB13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ДИСЦИПЛИНЫ (МОДУЛЯ)</w:t>
      </w:r>
    </w:p>
    <w:p w:rsidR="00CC292E" w:rsidRPr="00DB13D5" w:rsidRDefault="00CC292E" w:rsidP="00D42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92E" w:rsidRPr="00645239" w:rsidRDefault="00CC292E" w:rsidP="00D42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5F3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Неврология, медицинская генетика, нейрохирургия</w:t>
      </w:r>
    </w:p>
    <w:p w:rsidR="00CC292E" w:rsidRPr="00DB13D5" w:rsidRDefault="00CC292E" w:rsidP="00D4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</w:t>
      </w:r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4079" w:rsidRPr="00C9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специалитета</w:t>
      </w:r>
      <w:proofErr w:type="spellEnd"/>
    </w:p>
    <w:p w:rsidR="00CC292E" w:rsidRPr="00C94079" w:rsidRDefault="00C94079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40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Специальность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31.05.01 Лечебное дело</w:t>
      </w:r>
    </w:p>
    <w:p w:rsidR="00CC292E" w:rsidRPr="0057195D" w:rsidRDefault="00CC292E" w:rsidP="00D42605">
      <w:pPr>
        <w:widowControl w:val="0"/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Default="00CC292E" w:rsidP="00D42605">
      <w:pPr>
        <w:widowControl w:val="0"/>
        <w:tabs>
          <w:tab w:val="left" w:pos="70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:rsidR="00CC292E" w:rsidRPr="0057195D" w:rsidRDefault="00D17706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врач-лечебник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719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92E" w:rsidRPr="0057195D" w:rsidRDefault="00CC292E" w:rsidP="00D42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МАГАС, 2018 г.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</w:t>
      </w:r>
    </w:p>
    <w:p w:rsidR="00CC292E" w:rsidRPr="0057195D" w:rsidRDefault="00C94079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C292E"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_/___________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="00CC292E"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(должность, </w:t>
      </w:r>
      <w:proofErr w:type="spellStart"/>
      <w:r w:rsidRPr="0057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</w:t>
      </w:r>
      <w:proofErr w:type="gramStart"/>
      <w:r w:rsidRPr="0057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 w:rsidRPr="0057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тепень</w:t>
      </w:r>
      <w:proofErr w:type="spellEnd"/>
      <w:r w:rsidRPr="0057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звание)        (подпись)  (Ф. И. О.)</w:t>
      </w:r>
    </w:p>
    <w:p w:rsidR="00CC292E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079" w:rsidRPr="0057195D" w:rsidRDefault="00C94079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кафедры </w:t>
      </w:r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«Факультетская терапия»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 № ___от «____»_____________ 20__ г.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_____________/____</w:t>
      </w:r>
      <w:proofErr w:type="spellStart"/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Ахриева</w:t>
      </w:r>
      <w:proofErr w:type="spellEnd"/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_/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(подпись)            (Ф. И. О.)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учебно-методическим советом </w:t>
      </w:r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</w:t>
      </w: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факультета.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 № ___от «_____»_________________20__ г.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учебно-методического совета 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</w:t>
      </w:r>
      <w:proofErr w:type="spellStart"/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Гагиева</w:t>
      </w:r>
      <w:proofErr w:type="spellEnd"/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_/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(подпись)                   (Ф. И. О.)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292E" w:rsidRPr="0057195D" w:rsidRDefault="00CC292E" w:rsidP="0057195D">
      <w:pPr>
        <w:widowControl w:val="0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widowControl w:val="0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рассмотрен</w:t>
      </w: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Учебно-методического совета университета</w:t>
      </w:r>
    </w:p>
    <w:p w:rsidR="00CC292E" w:rsidRPr="0057195D" w:rsidRDefault="00CC292E" w:rsidP="0057195D">
      <w:pPr>
        <w:widowControl w:val="0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2E" w:rsidRPr="0057195D" w:rsidRDefault="00CC292E" w:rsidP="0057195D">
      <w:pPr>
        <w:widowControl w:val="0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 от «_____» ____________ 20___г.</w:t>
      </w:r>
    </w:p>
    <w:p w:rsidR="00CC292E" w:rsidRPr="0057195D" w:rsidRDefault="00CC292E" w:rsidP="0057195D">
      <w:pPr>
        <w:widowControl w:val="0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Учебно-методического с</w:t>
      </w:r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университета __________ /</w:t>
      </w:r>
      <w:proofErr w:type="spellStart"/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Хашагульгов</w:t>
      </w:r>
      <w:proofErr w:type="spellEnd"/>
      <w:r w:rsidR="00C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Ш.Б.</w:t>
      </w:r>
      <w:r w:rsidRPr="005719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C292E" w:rsidRPr="0057195D" w:rsidRDefault="00CC292E" w:rsidP="0057195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(подпись)         (Ф. И. О.)</w:t>
      </w:r>
    </w:p>
    <w:p w:rsidR="00CC292E" w:rsidRPr="005F64B7" w:rsidRDefault="00CC292E" w:rsidP="003F03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4B7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CC292E" w:rsidRDefault="00CC292E" w:rsidP="003F030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 П</w:t>
      </w:r>
      <w:r w:rsidRPr="00BE77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еречень компетенций с указанием этапов их формирования в процессе освоения образовательной программы</w:t>
      </w:r>
    </w:p>
    <w:p w:rsidR="00CC292E" w:rsidRDefault="00CC292E" w:rsidP="003F03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процессе освоения образовательной программы компетенции формируются по следующим этапам:</w:t>
      </w:r>
    </w:p>
    <w:p w:rsidR="00CC292E" w:rsidRPr="007A372A" w:rsidRDefault="00CC292E" w:rsidP="003F03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начальный</w:t>
      </w:r>
      <w:r w:rsidRPr="007A372A">
        <w:rPr>
          <w:rFonts w:ascii="Times New Roman" w:hAnsi="Times New Roman" w:cs="Times New Roman"/>
          <w:sz w:val="28"/>
          <w:szCs w:val="28"/>
          <w:lang w:eastAsia="ru-RU"/>
        </w:rPr>
        <w:t xml:space="preserve"> этап дает общее представление о виде деятельности, основных закономерностях функционирования объектов профессиональной деятельности, методов и алгори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тмов решения практических задач;</w:t>
      </w:r>
    </w:p>
    <w:p w:rsidR="00CC292E" w:rsidRPr="007A372A" w:rsidRDefault="00CC292E" w:rsidP="003F03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r w:rsidRPr="007A372A">
        <w:rPr>
          <w:rFonts w:ascii="Times New Roman" w:hAnsi="Times New Roman" w:cs="Times New Roman"/>
          <w:sz w:val="28"/>
          <w:szCs w:val="28"/>
          <w:lang w:eastAsia="ru-RU"/>
        </w:rPr>
        <w:t xml:space="preserve"> этап позволяет решать типовые задачи, принимать профессиональные и управленческие решения по известным а</w:t>
      </w:r>
      <w:r>
        <w:rPr>
          <w:rFonts w:ascii="Times New Roman" w:hAnsi="Times New Roman" w:cs="Times New Roman"/>
          <w:sz w:val="28"/>
          <w:szCs w:val="28"/>
          <w:lang w:eastAsia="ru-RU"/>
        </w:rPr>
        <w:t>лгоритмам, правилам и методикам;</w:t>
      </w:r>
    </w:p>
    <w:p w:rsidR="00CC292E" w:rsidRPr="007A372A" w:rsidRDefault="00CC292E" w:rsidP="003F03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завершающий</w:t>
      </w:r>
      <w:r w:rsidRPr="007A372A">
        <w:rPr>
          <w:rFonts w:ascii="Times New Roman" w:hAnsi="Times New Roman" w:cs="Times New Roman"/>
          <w:sz w:val="28"/>
          <w:szCs w:val="28"/>
          <w:lang w:eastAsia="ru-RU"/>
        </w:rPr>
        <w:t xml:space="preserve"> этап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CC292E" w:rsidRDefault="00CC292E" w:rsidP="003F03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72A">
        <w:rPr>
          <w:rFonts w:ascii="Times New Roman" w:hAnsi="Times New Roman" w:cs="Times New Roman"/>
          <w:sz w:val="28"/>
          <w:szCs w:val="28"/>
          <w:lang w:eastAsia="ru-RU"/>
        </w:rPr>
        <w:t>При освоении дисциплины (модуля) компетенции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закрепленные за ней, реализуются по темам (разделам) дисциплины (модуля), в определенной степени (полностью или в оговоренной части) и на определенном этапе, что приведено в Таблице 1.</w:t>
      </w:r>
    </w:p>
    <w:p w:rsidR="00CC292E" w:rsidRDefault="00CC292E" w:rsidP="003F0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41D66">
        <w:rPr>
          <w:rFonts w:ascii="Times New Roman" w:hAnsi="Times New Roman" w:cs="Times New Roman"/>
          <w:sz w:val="24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  <w:lang w:eastAsia="ru-RU"/>
        </w:rPr>
        <w:t>1</w:t>
      </w:r>
      <w:r w:rsidRPr="00441D66">
        <w:rPr>
          <w:rFonts w:ascii="Times New Roman" w:hAnsi="Times New Roman" w:cs="Times New Roman"/>
          <w:sz w:val="24"/>
          <w:szCs w:val="28"/>
          <w:lang w:eastAsia="ru-RU"/>
        </w:rPr>
        <w:t>. Перечень компетенций с указанием этапов их формирования в процессе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642"/>
        <w:gridCol w:w="2178"/>
        <w:gridCol w:w="2642"/>
        <w:gridCol w:w="2642"/>
      </w:tblGrid>
      <w:tr w:rsidR="00CC292E" w:rsidRPr="00AC1ABE" w:rsidTr="001E4B70">
        <w:tc>
          <w:tcPr>
            <w:tcW w:w="244" w:type="pct"/>
            <w:shd w:val="clear" w:color="auto" w:fill="auto"/>
            <w:vAlign w:val="center"/>
          </w:tcPr>
          <w:p w:rsidR="00CC292E" w:rsidRPr="00AC1ABE" w:rsidRDefault="00CC292E" w:rsidP="001E4B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C292E" w:rsidRPr="00AC1ABE" w:rsidRDefault="00CC292E" w:rsidP="001E4B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  <w:r w:rsidRPr="00AC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CC292E" w:rsidRPr="00AC1ABE" w:rsidRDefault="00CC292E" w:rsidP="001E4B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</w:t>
            </w:r>
            <w:r w:rsidRPr="00AC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C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(раздела) </w:t>
            </w:r>
            <w:r w:rsidRPr="00AC1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1380" w:type="pct"/>
          </w:tcPr>
          <w:p w:rsidR="00CC292E" w:rsidRDefault="00CC292E" w:rsidP="001E4B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реализации компетенции при освоении дисциплины (модуля)</w:t>
            </w:r>
          </w:p>
        </w:tc>
        <w:tc>
          <w:tcPr>
            <w:tcW w:w="1380" w:type="pct"/>
          </w:tcPr>
          <w:p w:rsidR="00CC292E" w:rsidRDefault="00CC292E" w:rsidP="001E4B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формирования компетенции при освоении дисциплины (модуля)</w:t>
            </w:r>
          </w:p>
        </w:tc>
      </w:tr>
      <w:tr w:rsidR="00920ADB" w:rsidRPr="00AC1ABE" w:rsidTr="009D7EED">
        <w:tc>
          <w:tcPr>
            <w:tcW w:w="244" w:type="pct"/>
            <w:shd w:val="clear" w:color="auto" w:fill="auto"/>
          </w:tcPr>
          <w:p w:rsidR="00920ADB" w:rsidRPr="009619B2" w:rsidRDefault="00920ADB" w:rsidP="00920AD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920ADB" w:rsidRPr="009619B2" w:rsidRDefault="00920ADB" w:rsidP="00920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DB">
              <w:rPr>
                <w:rFonts w:ascii="Times New Roman" w:hAnsi="Times New Roman" w:cs="Times New Roman"/>
                <w:sz w:val="24"/>
              </w:rPr>
              <w:t>ОПК-5</w:t>
            </w:r>
          </w:p>
        </w:tc>
        <w:tc>
          <w:tcPr>
            <w:tcW w:w="1138" w:type="pct"/>
            <w:shd w:val="clear" w:color="auto" w:fill="auto"/>
          </w:tcPr>
          <w:p w:rsidR="00920ADB" w:rsidRPr="00AC1ABE" w:rsidRDefault="00920ADB" w:rsidP="00920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380" w:type="pct"/>
          </w:tcPr>
          <w:p w:rsidR="00920ADB" w:rsidRPr="00920ADB" w:rsidRDefault="00920ADB" w:rsidP="00920ADB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920ADB">
              <w:rPr>
                <w:rFonts w:ascii="Times New Roman" w:hAnsi="Times New Roman" w:cs="Times New Roman"/>
                <w:sz w:val="24"/>
              </w:rPr>
              <w:t>Способностью и готовностью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1380" w:type="pct"/>
          </w:tcPr>
          <w:p w:rsidR="00920ADB" w:rsidRPr="00AC1ABE" w:rsidRDefault="00920ADB" w:rsidP="00920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B" w:rsidRPr="00AC1ABE" w:rsidTr="00920ADB">
        <w:trPr>
          <w:trHeight w:val="983"/>
        </w:trPr>
        <w:tc>
          <w:tcPr>
            <w:tcW w:w="244" w:type="pct"/>
            <w:shd w:val="clear" w:color="auto" w:fill="auto"/>
          </w:tcPr>
          <w:p w:rsidR="00920ADB" w:rsidRPr="009619B2" w:rsidRDefault="00920ADB" w:rsidP="00920AD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shd w:val="clear" w:color="auto" w:fill="auto"/>
          </w:tcPr>
          <w:p w:rsidR="00920ADB" w:rsidRPr="009619B2" w:rsidRDefault="00920ADB" w:rsidP="00920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DB">
              <w:rPr>
                <w:rFonts w:ascii="Times New Roman" w:hAnsi="Times New Roman" w:cs="Times New Roman"/>
                <w:sz w:val="24"/>
              </w:rPr>
              <w:t>ПК-6</w:t>
            </w:r>
          </w:p>
        </w:tc>
        <w:tc>
          <w:tcPr>
            <w:tcW w:w="1138" w:type="pct"/>
            <w:shd w:val="clear" w:color="auto" w:fill="auto"/>
          </w:tcPr>
          <w:p w:rsidR="00920ADB" w:rsidRDefault="00920ADB" w:rsidP="00920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3-12</w:t>
            </w:r>
          </w:p>
        </w:tc>
        <w:tc>
          <w:tcPr>
            <w:tcW w:w="1380" w:type="pct"/>
          </w:tcPr>
          <w:p w:rsidR="00920ADB" w:rsidRPr="00920ADB" w:rsidRDefault="00A015B2" w:rsidP="00920ADB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A015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380" w:type="pct"/>
          </w:tcPr>
          <w:p w:rsidR="00920ADB" w:rsidRPr="00AC1ABE" w:rsidRDefault="00920ADB" w:rsidP="00920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92E" w:rsidRPr="00F0005B" w:rsidRDefault="00CC292E" w:rsidP="003F0300">
      <w:pPr>
        <w:tabs>
          <w:tab w:val="left" w:pos="709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Описание показателей и критериев оценивания компетенций, описание шкал оценивания</w:t>
      </w:r>
    </w:p>
    <w:p w:rsidR="00CC292E" w:rsidRPr="00F0005B" w:rsidRDefault="00CC292E" w:rsidP="003F030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Шкала оценивания,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и </w:t>
      </w:r>
      <w:r w:rsidRPr="00F0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образовательных результатов обучающегося во время текущей аттестации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7833"/>
      </w:tblGrid>
      <w:tr w:rsidR="00CC292E" w:rsidRPr="00F0005B" w:rsidTr="001E4B70">
        <w:trPr>
          <w:cantSplit/>
          <w:jc w:val="center"/>
        </w:trPr>
        <w:tc>
          <w:tcPr>
            <w:tcW w:w="908" w:type="pct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092" w:type="pct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Показатели и критерии оценивания</w:t>
            </w:r>
          </w:p>
        </w:tc>
      </w:tr>
      <w:tr w:rsidR="00CC292E" w:rsidRPr="00F0005B" w:rsidTr="001E4B70">
        <w:trPr>
          <w:cantSplit/>
          <w:jc w:val="center"/>
        </w:trPr>
        <w:tc>
          <w:tcPr>
            <w:tcW w:w="908" w:type="pct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 «отлично»</w:t>
            </w:r>
          </w:p>
        </w:tc>
        <w:tc>
          <w:tcPr>
            <w:tcW w:w="4092" w:type="pct"/>
          </w:tcPr>
          <w:p w:rsidR="00CC292E" w:rsidRPr="00F0005B" w:rsidRDefault="00CC292E" w:rsidP="001E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Оценка «отлично»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ставится, если студент строит ответ логично в соответствии с планом, показывает максимально глубокие знания профессиональных терминов, понятий, категорий, концепций и теорий. Устанавливает содержательные </w:t>
            </w:r>
            <w:proofErr w:type="spellStart"/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межпредметные</w:t>
            </w:r>
            <w:proofErr w:type="spellEnd"/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связи. Развернуто аргументирует выдвигаемые положения, приводит убедительные примеры.</w:t>
            </w:r>
          </w:p>
        </w:tc>
      </w:tr>
      <w:tr w:rsidR="00CC292E" w:rsidRPr="00F0005B" w:rsidTr="001E4B70">
        <w:trPr>
          <w:cantSplit/>
          <w:jc w:val="center"/>
        </w:trPr>
        <w:tc>
          <w:tcPr>
            <w:tcW w:w="908" w:type="pct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 «хорошо»</w:t>
            </w:r>
          </w:p>
        </w:tc>
        <w:tc>
          <w:tcPr>
            <w:tcW w:w="4092" w:type="pct"/>
          </w:tcPr>
          <w:p w:rsidR="00CC292E" w:rsidRPr="00F0005B" w:rsidRDefault="00CC292E" w:rsidP="001E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Оценка «хорошо» ставится, если студент строит свой ответ в соответствии с планом. В ответе представлены различные подходы к проблеме, но их обоснование недостаточно полно. Устанавливает содержательные </w:t>
            </w:r>
            <w:proofErr w:type="spellStart"/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межпредметные</w:t>
            </w:r>
            <w:proofErr w:type="spellEnd"/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связи. Развернуто аргументирует выдвигаемые положения, приводит необходимые примеры, однако показывает некоторую непоследовательность анализа. Выводы правильны. Речь грамотна, используется профессиональная лексика.</w:t>
            </w:r>
          </w:p>
        </w:tc>
      </w:tr>
      <w:tr w:rsidR="00CC292E" w:rsidRPr="00F0005B" w:rsidTr="001E4B70">
        <w:trPr>
          <w:cantSplit/>
          <w:jc w:val="center"/>
        </w:trPr>
        <w:tc>
          <w:tcPr>
            <w:tcW w:w="908" w:type="pct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 «</w:t>
            </w:r>
            <w:proofErr w:type="spellStart"/>
            <w:proofErr w:type="gramStart"/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удовлетво-рительно</w:t>
            </w:r>
            <w:proofErr w:type="spellEnd"/>
            <w:proofErr w:type="gramEnd"/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4092" w:type="pct"/>
          </w:tcPr>
          <w:p w:rsidR="00CC292E" w:rsidRPr="00F0005B" w:rsidRDefault="00CC292E" w:rsidP="001E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«удовлетворительно» ставится, если ответ недостаточно логически выстроен, план ответа соблюдается непоследовательно. Студент обнаруживает слабость в развернутом раскрытии профессиональных понятий. Выдвигаемые положения декларируются, но недостаточно аргументированы. Ответ носит преимущественно теоретический характер, примеры ограничены, либо отсутствуют.</w:t>
            </w:r>
          </w:p>
        </w:tc>
      </w:tr>
      <w:tr w:rsidR="00CC292E" w:rsidRPr="00F0005B" w:rsidTr="001E4B70">
        <w:trPr>
          <w:cantSplit/>
          <w:jc w:val="center"/>
        </w:trPr>
        <w:tc>
          <w:tcPr>
            <w:tcW w:w="908" w:type="pct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 «</w:t>
            </w:r>
            <w:proofErr w:type="spellStart"/>
            <w:proofErr w:type="gramStart"/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неудовле-творительно</w:t>
            </w:r>
            <w:proofErr w:type="spellEnd"/>
            <w:proofErr w:type="gramEnd"/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4092" w:type="pct"/>
          </w:tcPr>
          <w:p w:rsidR="00CC292E" w:rsidRPr="00F0005B" w:rsidRDefault="00CC292E" w:rsidP="001E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«неудовлетворительно» ставится при условии недостаточного раскрытия профессиональных понятий, категорий, концепций, теорий. Студент проявляет стремление подменить научное обоснование проблем рассуждениями обыденно-повседневного бытового характера. Ответ содержит ряд серьезных неточностей. Выводы поверхностны</w:t>
            </w:r>
            <w:r w:rsidR="00F611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CC292E" w:rsidRPr="00F0005B" w:rsidRDefault="00CC292E" w:rsidP="003F030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Шкала оценивания, </w:t>
      </w:r>
      <w:r w:rsidRPr="00AC1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и </w:t>
      </w:r>
      <w:r w:rsidRPr="00F0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образовательных результатов обучающегося во время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6855"/>
      </w:tblGrid>
      <w:tr w:rsidR="00CC292E" w:rsidRPr="00F0005B" w:rsidTr="00A470AA">
        <w:trPr>
          <w:tblHeader/>
        </w:trPr>
        <w:tc>
          <w:tcPr>
            <w:tcW w:w="1419" w:type="pct"/>
            <w:shd w:val="clear" w:color="auto" w:fill="B6DDE8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экзамена</w:t>
            </w:r>
          </w:p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(нормативная)</w:t>
            </w:r>
          </w:p>
        </w:tc>
        <w:tc>
          <w:tcPr>
            <w:tcW w:w="3581" w:type="pct"/>
            <w:shd w:val="clear" w:color="auto" w:fill="B6DDE8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и критерии оценивания образовательных результатов</w:t>
            </w:r>
          </w:p>
        </w:tc>
      </w:tr>
      <w:tr w:rsidR="00CC292E" w:rsidRPr="00F0005B" w:rsidTr="00A470AA">
        <w:trPr>
          <w:tblHeader/>
        </w:trPr>
        <w:tc>
          <w:tcPr>
            <w:tcW w:w="1419" w:type="pct"/>
            <w:shd w:val="clear" w:color="auto" w:fill="FFFFFF"/>
            <w:vAlign w:val="center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CC292E" w:rsidRPr="00F0005B" w:rsidTr="00A470AA">
        <w:trPr>
          <w:trHeight w:val="705"/>
        </w:trPr>
        <w:tc>
          <w:tcPr>
            <w:tcW w:w="1419" w:type="pct"/>
          </w:tcPr>
          <w:p w:rsidR="00CC292E" w:rsidRPr="00F0005B" w:rsidRDefault="00CC292E" w:rsidP="001E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</w:t>
            </w:r>
          </w:p>
          <w:p w:rsidR="00CC292E" w:rsidRPr="00F0005B" w:rsidRDefault="00CC292E" w:rsidP="001E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3581" w:type="pct"/>
          </w:tcPr>
          <w:p w:rsidR="00CC292E" w:rsidRPr="00F0005B" w:rsidRDefault="00CC292E" w:rsidP="001E4B7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«5 (отлично)»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выставляется обучающемуся, если он глубоко и прочно усвоил программный материал и демонстрирует это на занятиях и экзамене, исчерпывающе, последовательно, чётко и логически стройно излагал его, умеет тесно увязывать теорию с практикой, свободно справляется с задачами, вопросами и другими видами применения знаний. Причем обучающийся не затруднялся с ответом при видоизменении предложенных ему заданий, использовал в ответе материал учебной и монографической литературы, в том числе из дополнительного списка, правильно обосновывал принятое решение. 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достижения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семестровый период и результаты рубежного контроля демонстрировали </w:t>
            </w: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высокую степень овладения программным материалом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Рейтинговые баллы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назначаются обучающемуся с учётом баллов текущей (на занятиях) и промежуточной (экзамен) аттестации.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закреплённые за дисциплиной,</w:t>
            </w: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сформированы на уровне – высокий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292E" w:rsidRPr="00F0005B" w:rsidTr="00A470AA">
        <w:trPr>
          <w:trHeight w:val="1649"/>
        </w:trPr>
        <w:tc>
          <w:tcPr>
            <w:tcW w:w="1419" w:type="pct"/>
          </w:tcPr>
          <w:p w:rsidR="00CC292E" w:rsidRPr="00F0005B" w:rsidRDefault="00CC292E" w:rsidP="001E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</w:t>
            </w:r>
          </w:p>
          <w:p w:rsidR="00CC292E" w:rsidRPr="00F0005B" w:rsidRDefault="00CC292E" w:rsidP="001E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3581" w:type="pct"/>
          </w:tcPr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«4, (хорошо)»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выставляется обучающемуся, если он твёрдо знает материал, грамотно и по существу излагает его на занятиях и экзамене,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приёмами их выполнения.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достижения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семестровый период и результаты рубежного контроля демонстрируют </w:t>
            </w: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хорошую степень овладения программным материалом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Рейтинговые баллы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назначаются обучающемуся с учётом баллов текущей (на занятиях) и промежуточной (экзамен) аттестации.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закреплённые за дисциплиной,</w:t>
            </w: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сформированы на уровне – хороший (средний)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292E" w:rsidRPr="00F0005B" w:rsidTr="00A470AA">
        <w:trPr>
          <w:trHeight w:val="1407"/>
        </w:trPr>
        <w:tc>
          <w:tcPr>
            <w:tcW w:w="1419" w:type="pct"/>
          </w:tcPr>
          <w:p w:rsidR="00CC292E" w:rsidRPr="00F0005B" w:rsidRDefault="00CC292E" w:rsidP="001E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</w:p>
          <w:p w:rsidR="00CC292E" w:rsidRPr="00F0005B" w:rsidRDefault="00CC292E" w:rsidP="001E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581" w:type="pct"/>
          </w:tcPr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«3 (удовлетворительно)»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выставляется обучающемуся, если он имеет и демонстрирует знания на занятиях и экзамене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достижения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семестровый период и результаты рубежного контроля демонстрируют </w:t>
            </w: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достаточную (удовлетворительную) степень овладения программным материалом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Рейтинговые баллы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назначаются обучающемуся с учётом баллов текущей (на занятиях) и промежуточной (экзамен) аттестации.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закреплённые за дисциплиной,</w:t>
            </w: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сформированы на уровне – достаточный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292E" w:rsidRPr="00F0005B" w:rsidTr="00A470AA">
        <w:trPr>
          <w:trHeight w:val="415"/>
        </w:trPr>
        <w:tc>
          <w:tcPr>
            <w:tcW w:w="1419" w:type="pct"/>
          </w:tcPr>
          <w:p w:rsidR="00CC292E" w:rsidRPr="00F0005B" w:rsidRDefault="00CC292E" w:rsidP="001E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</w:t>
            </w:r>
          </w:p>
          <w:p w:rsidR="00CC292E" w:rsidRPr="00F0005B" w:rsidRDefault="00CC292E" w:rsidP="00F6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3581" w:type="pct"/>
          </w:tcPr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«2 (неудовлетворительно)»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выставляется </w:t>
            </w:r>
            <w:proofErr w:type="gramStart"/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 знает большей части программного материала, допускает существенные ошибки, неуверенно, с большими затруднениями выполняет практические работы на занятиях и экзамене. Как правило, оценка «неудовлетворительно» ставится обучающимся, которые не могут продолжить обучение без дополнительных занятий по соответствующей дисциплине. 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достижения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семестровый период и результаты рубежного контроля демонстрируют </w:t>
            </w: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невысокую (недостаточную) степень овладения программным материалом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Рейтинговые баллы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назначаются обучающимся с учётом баллов текущей (на занятиях) и промежуточной (экзамен) аттестации.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закреплённые за дисциплиной,</w:t>
            </w: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сформированы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C292E" w:rsidRPr="00F0005B" w:rsidRDefault="00CC292E" w:rsidP="003F030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Шкала оценивания, </w:t>
      </w:r>
      <w:r w:rsidRPr="00AC1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и </w:t>
      </w:r>
      <w:r w:rsidRPr="00F0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образовательных результатов обучающегося на зачете по дисциплине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7496"/>
      </w:tblGrid>
      <w:tr w:rsidR="00CC292E" w:rsidRPr="00F0005B" w:rsidTr="00A470AA">
        <w:trPr>
          <w:trHeight w:val="357"/>
          <w:tblHeader/>
        </w:trPr>
        <w:tc>
          <w:tcPr>
            <w:tcW w:w="1084" w:type="pct"/>
            <w:shd w:val="clear" w:color="auto" w:fill="B6DDE8"/>
          </w:tcPr>
          <w:p w:rsidR="00CC292E" w:rsidRPr="00F0005B" w:rsidRDefault="00CC292E" w:rsidP="001E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зачета</w:t>
            </w:r>
          </w:p>
        </w:tc>
        <w:tc>
          <w:tcPr>
            <w:tcW w:w="3916" w:type="pct"/>
            <w:tcBorders>
              <w:right w:val="single" w:sz="4" w:space="0" w:color="auto"/>
            </w:tcBorders>
            <w:shd w:val="clear" w:color="auto" w:fill="B6DDE8"/>
          </w:tcPr>
          <w:p w:rsidR="00CC292E" w:rsidRPr="00F0005B" w:rsidRDefault="00CC292E" w:rsidP="001E4B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и критерии оценивания образовательных результатов</w:t>
            </w:r>
          </w:p>
        </w:tc>
      </w:tr>
      <w:tr w:rsidR="00CC292E" w:rsidRPr="00F0005B" w:rsidTr="00A470AA">
        <w:trPr>
          <w:trHeight w:val="154"/>
          <w:tblHeader/>
        </w:trPr>
        <w:tc>
          <w:tcPr>
            <w:tcW w:w="1084" w:type="pct"/>
            <w:shd w:val="clear" w:color="auto" w:fill="FFFFFF"/>
            <w:vAlign w:val="center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92E" w:rsidRPr="00F0005B" w:rsidRDefault="00CC292E" w:rsidP="001E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CC292E" w:rsidRPr="00F0005B" w:rsidTr="00A470AA">
        <w:trPr>
          <w:trHeight w:val="2075"/>
        </w:trPr>
        <w:tc>
          <w:tcPr>
            <w:tcW w:w="1084" w:type="pct"/>
            <w:vMerge w:val="restart"/>
          </w:tcPr>
          <w:p w:rsidR="00CC292E" w:rsidRPr="00F0005B" w:rsidRDefault="00CC292E" w:rsidP="001E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3916" w:type="pct"/>
            <w:vMerge w:val="restart"/>
            <w:tcBorders>
              <w:right w:val="single" w:sz="4" w:space="0" w:color="auto"/>
            </w:tcBorders>
          </w:tcPr>
          <w:p w:rsidR="00CC292E" w:rsidRPr="00F0005B" w:rsidRDefault="00CC292E" w:rsidP="001E4B70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«зачтено»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выставляется обучающемуся, если рейтинговая оценка (средний балл) его текущей аттестации по дисциплине входит в данный диапазон.</w:t>
            </w:r>
          </w:p>
          <w:p w:rsidR="00CC292E" w:rsidRPr="00F0005B" w:rsidRDefault="00CC292E" w:rsidP="001E4B70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этом, обучающийся на учебных занятиях и по результатам самостоятельной работы демонстрировал знание материала, грамотно и по существу излагал его, не допускал существенных неточностей в ответе на вопрос, правильно применял использовал в ответах учебно-методический материал исходя из специфики практических вопросов и задач, владел необходимыми навыками и приёмами их выполнения.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Учебные достижения</w:t>
            </w:r>
            <w:r w:rsidRPr="00F00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семестровый период и результаты рубежного контроля демонстрируют </w:t>
            </w:r>
            <w:r w:rsidRPr="00F00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высокую </w:t>
            </w:r>
            <w:r w:rsidRPr="00F00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(15....13)</w:t>
            </w:r>
            <w:r w:rsidRPr="00F00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/</w:t>
            </w:r>
            <w:r w:rsidRPr="00F00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00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хорошую </w:t>
            </w:r>
            <w:r w:rsidRPr="00F00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(12..10)</w:t>
            </w:r>
            <w:r w:rsidRPr="00F00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/ достаточную </w:t>
            </w:r>
            <w:r w:rsidRPr="00F00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(9…7)</w:t>
            </w:r>
            <w:r w:rsidRPr="00F00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степень овладения программным материалом</w:t>
            </w:r>
            <w:r w:rsidRPr="00F00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CC292E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Рейтинговые баллы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назначаются обучающемуся как среднеарифметическое рейтинговых оценок по текущей аттестации (на занятиях и по результатам выполнения контрольных заданий) и промежуточной (экзамен) аттестации.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Компетенции</w:t>
            </w:r>
            <w:r w:rsidRPr="00F00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закреплённые за дисциплиной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сформированы на уровне от достаточного до высокого.</w:t>
            </w:r>
          </w:p>
        </w:tc>
      </w:tr>
      <w:tr w:rsidR="00CC292E" w:rsidRPr="00F0005B" w:rsidTr="00A470AA">
        <w:trPr>
          <w:trHeight w:val="2118"/>
        </w:trPr>
        <w:tc>
          <w:tcPr>
            <w:tcW w:w="1084" w:type="pct"/>
            <w:vMerge/>
          </w:tcPr>
          <w:p w:rsidR="00CC292E" w:rsidRPr="00F0005B" w:rsidRDefault="00CC292E" w:rsidP="001E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vMerge/>
            <w:tcBorders>
              <w:right w:val="single" w:sz="4" w:space="0" w:color="auto"/>
            </w:tcBorders>
          </w:tcPr>
          <w:p w:rsidR="00CC292E" w:rsidRPr="00F0005B" w:rsidRDefault="00CC292E" w:rsidP="001E4B70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92E" w:rsidRPr="00F0005B" w:rsidTr="00A470AA">
        <w:trPr>
          <w:trHeight w:val="617"/>
        </w:trPr>
        <w:tc>
          <w:tcPr>
            <w:tcW w:w="1084" w:type="pct"/>
            <w:vMerge/>
          </w:tcPr>
          <w:p w:rsidR="00CC292E" w:rsidRPr="00F0005B" w:rsidRDefault="00CC292E" w:rsidP="001E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vMerge/>
            <w:tcBorders>
              <w:right w:val="single" w:sz="4" w:space="0" w:color="auto"/>
            </w:tcBorders>
          </w:tcPr>
          <w:p w:rsidR="00CC292E" w:rsidRPr="00F0005B" w:rsidRDefault="00CC292E" w:rsidP="001E4B70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92E" w:rsidRPr="00F0005B" w:rsidTr="00A470AA">
        <w:trPr>
          <w:trHeight w:val="70"/>
        </w:trPr>
        <w:tc>
          <w:tcPr>
            <w:tcW w:w="1084" w:type="pct"/>
          </w:tcPr>
          <w:p w:rsidR="00CC292E" w:rsidRPr="00F0005B" w:rsidRDefault="00CC292E" w:rsidP="001E4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3916" w:type="pct"/>
            <w:tcBorders>
              <w:right w:val="single" w:sz="4" w:space="0" w:color="auto"/>
            </w:tcBorders>
          </w:tcPr>
          <w:p w:rsidR="00CC292E" w:rsidRPr="00F0005B" w:rsidRDefault="00CC292E" w:rsidP="001E4B70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«не зачтено»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выставляется обучающемуся, если рейтинговая оценка (средний балл) его текущей аттестации по дисциплине входит в данный диапазон.</w:t>
            </w:r>
          </w:p>
          <w:p w:rsidR="00CC292E" w:rsidRPr="00F0005B" w:rsidRDefault="00CC292E" w:rsidP="001E4B70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этом, обучающийся на учебных занятиях и по результатам самостоятельной работы демонстрирует незнание значительной части программного материала, допускает существенные ошибки, неуверенно, с большими затруднениями выполняет практические работы. </w:t>
            </w:r>
          </w:p>
          <w:p w:rsidR="00CC292E" w:rsidRPr="00F0005B" w:rsidRDefault="00CC292E" w:rsidP="001E4B70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правило, «не зачтено» ставится обучающимся, которые не могут 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продолжить обучение без дополнительных занятий по соответствующей дисциплине.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достижения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семестровый период и результаты рубежного контроля демонстрируют </w:t>
            </w: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невысокую (недостаточную) степень овладения программным материалом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292E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Рейтинговые баллы</w:t>
            </w:r>
            <w:r w:rsidRPr="00F00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назначаются обучающемуся как среднеарифметическое рейтинговых оценок по текущей аттестации (на занятиях и по результатам выполнения контрольных заданий) и промежуточной (экзамен) аттестации.</w:t>
            </w:r>
          </w:p>
          <w:p w:rsidR="00CC292E" w:rsidRPr="00F0005B" w:rsidRDefault="00CC292E" w:rsidP="001E4B70">
            <w:pPr>
              <w:tabs>
                <w:tab w:val="left" w:pos="-108"/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</w:t>
            </w:r>
            <w:r w:rsidRPr="00F00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омпетенции, закреплённые за дисциплиной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F00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не сформированы</w:t>
            </w:r>
          </w:p>
        </w:tc>
      </w:tr>
    </w:tbl>
    <w:p w:rsidR="00CC292E" w:rsidRPr="003F0300" w:rsidRDefault="00CC292E" w:rsidP="003F030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</w:t>
      </w: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Типовые контрольные задания или иные материалы, необходимые для оценивания </w:t>
      </w:r>
      <w:r w:rsidRPr="003F03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знаний, умений, навыков и (или) опыта деятельности, характеризующих этапы формирования компетенций</w:t>
      </w:r>
    </w:p>
    <w:p w:rsidR="00CC292E" w:rsidRDefault="00CC292E" w:rsidP="003F03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Pr="00C555CB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оценивания знаний, умений, навыков и (или) опыта деятельности, характеризующих этапы формирования компетенций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используются следующие типовые контрольные задания:</w:t>
      </w:r>
    </w:p>
    <w:p w:rsidR="00CC292E" w:rsidRPr="003A32AB" w:rsidRDefault="00CC292E" w:rsidP="003A32A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32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 Текущий контроль успеваемости</w:t>
      </w:r>
    </w:p>
    <w:p w:rsidR="00CC292E" w:rsidRDefault="00CC292E" w:rsidP="006228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28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Вопросы текущего контроля успеваемости на семинарах (практических занятиях)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Исследование силы, тонуса, трофики, рефлексов, умение отличать центральный паралич от периферического;  умение выявлять экстрапирамидные расстройства, различные</w:t>
      </w:r>
      <w:r w:rsidR="00165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гиперкинезов, проверять функцию мозжечка; дифференцировать различные виды атаксий;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Исследование поверхностной, глубокой и сложных видов чувствительности, определение типа нарушения чувствительности;  Исследование обоняния и зрения, функции нервов глазодвигательной группы, а также тройничного нерва;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Исследование функции лицевого нерва, умение проверять слух и функцию вестибулярного аппарата; умение различать бульбарный и псевдобульбарный синдромы; дифференцировать различные альтернирующие синдромы; умение проверять функцию подъязычного нерва;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Умение исследовать высшие мозговые функции, отличать афазию от других нарушений речи, дифференцировать различные виды афазий между собой; правильно оценивать уровень сознания;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Умение оценивать вегетативные функции по различным вегетативным пробам, дифференцировать </w:t>
      </w:r>
      <w:proofErr w:type="spellStart"/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симпатикотонию</w:t>
      </w:r>
      <w:proofErr w:type="spellEnd"/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ваготонию</w:t>
      </w:r>
      <w:proofErr w:type="spellEnd"/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выявлять нарушения терморегуляции, потоотделения, саливации;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Умение оценивать отдельные неврологические симптомы и синдромы, соотносить их между собой, выявлять основной синдром, точно диагностировать уровень поражения нервной системы;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Умение ставить топический диагноз, сопоставлять результаты клинических, лабораторных и инструментальных методов исследования, фор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мулировать заключительный клини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ческий диагноз;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Исследование менингеальных симптомов;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Диагностировать наиболее часто встречающиеся заболевания, угрожающие жизни;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Оценить результаты клинического и биохимического анализов крови, ликвора, общего анализа мочи, бактериологических посевов и </w:t>
      </w:r>
      <w:r w:rsidR="001659D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ммуноферментного исследования крови;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11.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Оценить результаты </w:t>
      </w:r>
      <w:proofErr w:type="spellStart"/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нейросонографии</w:t>
      </w:r>
      <w:proofErr w:type="spellEnd"/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рентгенографического исследования костей черепа, МРТ и КТ головного и спинного мозга;</w:t>
      </w:r>
    </w:p>
    <w:p w:rsidR="006371ED" w:rsidRPr="006371ED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Назначить лечение при наиболее часто встречающихся заболеваниях нервной системы;</w:t>
      </w:r>
    </w:p>
    <w:p w:rsidR="00182BBB" w:rsidRPr="00182BBB" w:rsidRDefault="006371ED" w:rsidP="006371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>13.</w:t>
      </w:r>
      <w:r w:rsidRPr="006371E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Оказать первую врачебную  помощь при инфекционно-токсическом шоке, судорогах, отеке мозга, остановке дыхания и сердечной деятельности.</w:t>
      </w:r>
    </w:p>
    <w:p w:rsidR="00CC292E" w:rsidRDefault="00CC292E" w:rsidP="00A470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Типовые темы рефератов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Мозжечок и его роль в регуляции движений. Мозжечковые дизартрии.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Гиперкинезы их диагностики, нарушения речи при гиперкинезах, современные методы лечения.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Эпилептический статус, диагностика и методы оказания помощи.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Последствия ранние и отдаленные у больных, перенесших тяжелую черепно-мозговую травму, с нарушениями речи.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ДЦП, современные методы лечения. Возможные варианты нарушения речи.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Когнитивные нарушения у детей с неврологической патологией.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ПЭП, классификация и клинические проявления. Аспекты нормального развития речи у детей первого года жизни.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Врождённые пороки развития с вариантами нарушения речи.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Вегетативные кризы, неотложная помощь.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Синкопальные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судорожные состояния.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Поствакцинальные энцефалиты, диагностика и лечение. Возможные варианты нарушения речи.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Гидроцефалия, клиника, методы лечения.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ОНМК и нарушения речи при поражении доминантного полушария мозга.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Черепно-мозговая травма. Классификация по степени тяжести и возможные нарушения речи при контузии и сдавлении головного мозга. </w:t>
      </w:r>
    </w:p>
    <w:p w:rsidR="006A67E4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Менингиты, диагностика. </w:t>
      </w:r>
    </w:p>
    <w:p w:rsidR="00753F72" w:rsidRPr="00B659EB" w:rsidRDefault="006A67E4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Энцефалиты, диагностика.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Анатомо-физиологические характеристики центральной и периферической нервной системы.</w:t>
      </w:r>
    </w:p>
    <w:p w:rsidR="00B659EB" w:rsidRPr="00434EF8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Нейрофизиологические основы изменения физиологических рефлексов, патологических</w:t>
      </w:r>
      <w:r w:rsid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пирамидных рефлексов, </w:t>
      </w:r>
      <w:proofErr w:type="spellStart"/>
      <w:r w:rsidRP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спастичности</w:t>
      </w:r>
      <w:proofErr w:type="spellEnd"/>
      <w:r w:rsidRP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Патофизиологические, нейрохимические и психологические аспекты боли.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Исследование Н-рефлекса, соматосенсорных вызванных потенциалов.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Нейрофизиологические и нейрохимические механизмы регуляции деятельности экстрапирамидной системы.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Значение нейропсихологических исследований в неврологической клинике.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Нейроэндокринные, обменные синдромы Иценко-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Кушинга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адипозогенитальный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несахарного диабета</w:t>
      </w:r>
      <w:r w:rsidR="008E2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Вегетативный криз (паническая атака): этиология, патогенез, клиника, диагностика.</w:t>
      </w:r>
    </w:p>
    <w:p w:rsidR="00B659EB" w:rsidRPr="00434EF8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Инструментальная и лекарственная коррекция периферических вегетативных расстройств</w:t>
      </w:r>
      <w:r w:rsid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нейрогенного мочевого пузыря.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Лекарственная терапия внутричерепной гипертензии.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Синдром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карпального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канала,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кубитального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канала (этиология, патогенез, клиника, диагностика, лечение).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Острая воспалительная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демиелинизирующая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полиневропатия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Неврозы: этиология, патогенез, классификация, клиника, диагностика, лечение.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Сосудистая деменция: патогенез, клиника, диагностика.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Гепатоцеребральная дистрофия Вильсона-Коновалова.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Неврологические осложнения отравления ртутью, свинцом, марганцем, углекислым газом, мышьяком.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Деструктивные и метаболические комы. Хроническое вегетативное состояние, смерть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мозга.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Реабилитация больных со спинальной травмой.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Биомеханика позвоночника, функция межпозвонковых дисков и фасеточных суставов.</w:t>
      </w:r>
    </w:p>
    <w:p w:rsidR="00B659EB" w:rsidRPr="00B659EB" w:rsidRDefault="00B659EB" w:rsidP="00B659EB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Дифференциальный диагноз при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эпидуральном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абсцессе, опухоли позвоночника, гормональной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спондилопатии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, туберкулёзном спондилите.</w:t>
      </w:r>
    </w:p>
    <w:p w:rsidR="00CC292E" w:rsidRDefault="00CC292E" w:rsidP="00A470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Типовые тесты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задания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НЕВРОЛОГИИ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01.1. При поражении отводящего нерва возникает паралич глазодвигательной мышцы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а) верхней прямой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наружной прямой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нижней прямой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нижней косой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верхней косой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01.2.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Мидриаз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возникает при поражении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верхней порции крупноклеточного ядра глазодвигательного нерва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нижней порции крупноклеточного ядра глазодвигательного нерва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мелкоклеточного добавочного ядра глазодвигательного нерва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среднего непарного ядра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ядра медиального продольного пучка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01.3. Если верхняя граница проводниковых расстройств болевой чувствительности определяется на уровне Т10</w:t>
      </w:r>
      <w:r w:rsid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дерматома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поражение спинного мозга локализуется на уровне сегмента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Т6 или Т7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Т8 или Т9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Т9 или Т10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Т10 или Т11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Т11 или Т12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01.4. При центральном параличе наблюдается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атрофия мышц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повышение сухожильных рефлексов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нарушение чувствительности по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полиневритическомутипу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нарушения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электровозбудимости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нервов и мышц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фибриллярные подергивания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01.5. Хореический гиперкинез возникает при поражении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палеостриатума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неостриатума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медиального бледного шара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латерального бледного шара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д) мозжечка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01.6. Волокна глубокой чувствительности для нижних конечностей располагаются в тонком пучке задних канатиков по</w:t>
      </w:r>
      <w:r w:rsid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отношению к средней линии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латерально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вентрально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дорсально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вентролатерально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01.7. Волокна глубокой чувствительности для туловища и верхних конечностей располагаются в клиновидном пучке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задних канатиков по отношению к средней линии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латерально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вентрально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дорсально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вентромедиально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01.8. Волокна болевой и температурной чувствительности (латеральная петля) присоединяются к волокнам глубокой и</w:t>
      </w:r>
      <w:r w:rsidR="00434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тактильной чувствительности (медиальная петля)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 продолговатом мозге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в мосту мозга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в ножках мозга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в зрительном бугре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в мозжечке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01.9. Основным медиатором тормозного действия является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ацетилхолин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ГАМК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норадреналин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адреналин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д) дофамин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01.10. Все афферентные пути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стриопаллидарной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 оканчиваются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 латеральном ядре бледного шара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в полосатом теле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в медиальном ядре бледного шара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в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субталамическом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ядре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в мозжечке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01.11. Неустойчивость в п</w:t>
      </w:r>
      <w:r w:rsidR="008E2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робе </w:t>
      </w: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Ромберга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закрывании глаз значительно усиливается, если имеет место атаксия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мозжечковая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сенситивная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вестибулярная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лобная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смешанная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01.12. Регуляция мышечного тонуса мозжечком при изменении положения тела в пространстве осуществляется через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красное ядро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люисово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тело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черное вещество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полосатое тело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голубое пятно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01.13.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Биназальная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гемианопсия наступает при поражении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центральных отделов перекреста зрительных нервов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наружных отделов перекреста зрительных нервов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зрительной лучистости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зрительных трактов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черного вещества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01.14. К концентрическому сужению полей зрения приводит сдав</w:t>
      </w:r>
      <w:r w:rsidR="008E2DDD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ение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зрительного тракта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зрительного перекреста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в) наружного коленчатого тела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зрительной лучистости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черного вещества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01.15. При поражении зрительного тракта возникает гемианопсия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биназальная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гомонимная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битемпоральная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нижнеквадрантная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верхнеквадрантная</w:t>
      </w:r>
      <w:proofErr w:type="spellEnd"/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0116.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Гомонимная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гемианопсия не наблюдается при поражении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зрительного тракта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зрительного перекреста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зрительной лучистости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внутренней капсулы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зрительного нерва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01.17. Через верхние ножки мозжечка проходит путь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задний спинно-мозжечковый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передний спинно-мозжечковый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лобно-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мосто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-мозжечковый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затылочно-височно-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мосто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-мозжечковый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спинно-мозжечковый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01.18. Обонятельные галлюцинации наблюдаются при поражении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обонятельного бугорка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обонятельной луковицы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височной доли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теменной доли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лобной доли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01.19. Битемпоральная гемианопсия наблюдается при поражении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а) центральных отделов перекреста зрительных нервов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наружных отделов перекреста зрительных нервов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в) зрительных трактов перекреста зрительных нервов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зрительной лучистости с двух сторон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лобной доли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01.20. Истинное недержание мочи возникает при поражении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proofErr w:type="spellStart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парацентральных</w:t>
      </w:r>
      <w:proofErr w:type="spellEnd"/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долек передней центральной извилины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б) шейного отдела спинного мозга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поясничного утолщения спинного мозга</w:t>
      </w:r>
    </w:p>
    <w:p w:rsidR="00E3767A" w:rsidRPr="00E3767A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г) конского хвоста спинного мозга</w:t>
      </w:r>
    </w:p>
    <w:p w:rsidR="005E7010" w:rsidRDefault="00E3767A" w:rsidP="00E37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д) моста мозга</w:t>
      </w:r>
    </w:p>
    <w:p w:rsidR="00B659EB" w:rsidRPr="008E2DDD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2D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медицинской генетике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01. Пробанд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Больной, обратившийся к врачу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Здоровый человек, обратившийся в медико-генетическую консультацию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Лицо, впервые попавшее под наблюдение врача-генетика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Лицо, с которого начинается сбор родословной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02. При каком типе наследования значимо чаще больные рождаются в семьях с </w:t>
      </w:r>
      <w:proofErr w:type="gram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кровно-родственными</w:t>
      </w:r>
      <w:proofErr w:type="gram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браками: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Х-сцепленное рецессивный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Аутосомно-рецессивный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Х-сцепленный доминантный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03. Сибсы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Все родственники пробанда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Дядя пробанда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Родители пробанда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Братья и сестры пробанда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04. Объектом изучения клинической генетики являются: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Больной человек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Больной и больные родственники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Больной и все члены его семьи, в том числе здоровые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05. Какова вероятность рождения больного ребенка женщиной, имеющей больных сына и брата гемофилией: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25%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50%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100%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Близко к 0%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06. Долихоцефалия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Длинный узкий череп с выступающим лбом и затылком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Увеличение продольного размера черепа относительно поперечного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Увеличение поперечного размера черепа при относительном уменьшении продольного размера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Расширение черепа в затылочной и сужение в лобной части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07.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Эпикант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Сросшиеся брови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Широко расставленные глаза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Вертикальная кожная складка у внутреннего угла глаза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Сужение глазной щели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08.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Олигодактилия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Отсутствие пальцев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Сращение пальцев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Отсутствие одного или более пальцев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Увеличение количества пальцев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09. Крипторхизм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Незаращение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мочеиспускательного канала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Б.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Неопущение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яичек в мошонку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Недоразвитие половых органов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Арахнодактилия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Укорочение пальцев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Изменение форм пальцев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Увеличение длины пальцев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11. Синдактилия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Сращение конечностей по всей длине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Сращение конечности в нижней трети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Сращение пальцев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12 Брахицефалия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Расширение черепа в затылочной и сужение в лобной части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“башенный череп”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Увеличение поперечного размера головы при относительном уменьшении продольного размера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Увеличение продольного размера черепа относительно поперечного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Анофтальмия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Врожденное отсутствие глазных яблок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Врожденное отсутствие радужки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Уменьшенное расстояние между внутренними углами глазниц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Микрогнатия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Малые размеры нижней челюсти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Малые размеры верхней челюсти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Малое ротовое отверстие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Гетерохромия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радужной оболочки – это: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Аномальное восприятие цветов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Различная окраска радужной оболочки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Различия в размерах радужных оболочек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16 Наиболее целесообразные сроки беременности для исследования уровня альфа-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фетопротеина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крови: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А. 7-10 недель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Б. 16-20 недель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В. 25-30 недель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Г. 33-38 недель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 Кариотип, свойственный синдрому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Клайнфельтера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а) 47, ХХУ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б) 47, ХУУ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в) 46, ХУ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г) 45, У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д) 47, ХХХ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18. Кариотип свойственный синдрому "кошачьего крика":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а) 45, ХО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б) 47, ХХУ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в) 46, ХХ / 47, ХХ + 13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46, ХХ,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del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(р5)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д) 47, ХХ + 18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19. Уровень альфа-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фетопротеина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крови беременной женщины повышается при: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а) Болезни Дауна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Синдроме Эдвардса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Синдроме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Патау</w:t>
      </w:r>
      <w:proofErr w:type="spellEnd"/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Муковисц</w:t>
      </w:r>
      <w:r w:rsidR="008E2DD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дозе</w:t>
      </w:r>
      <w:proofErr w:type="spellEnd"/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д) Врожденных пороках развития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20. Зигота летальна при генотипе: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а) 45, Х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б) 47, ХУ + 21</w:t>
      </w:r>
    </w:p>
    <w:p w:rsidR="00B659EB" w:rsidRPr="00B659E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в) 45, 0У</w:t>
      </w:r>
    </w:p>
    <w:p w:rsidR="00B659EB" w:rsidRPr="00182BBB" w:rsidRDefault="00B659EB" w:rsidP="00B65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г) 47, ХХУ</w:t>
      </w:r>
    </w:p>
    <w:p w:rsidR="006A67E4" w:rsidRPr="006A67E4" w:rsidRDefault="00CC292E" w:rsidP="006A67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Типовые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контрольные вопросы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Перечислите симптомы центрального паралича.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Перечислите симптомы периферического паралича.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Назовите симптомы поражения экстрапирамидной системы. Варианты нарушения речи при гиперкинезах.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Перечислите симптомы поражения червя и полушарий мозжечка.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Перечислите черепные нервы каудальной группы и назовите симптомы поражения этих нервов. Бульбарная дизартрия.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Назовите проявления псевдобульбарного паралича и черепные нервы, страдающие при их возникновении. Псевдобульбарная дизартрия.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Укажите основные функции вегетативной нервной системы, опишите ее отделы и основные клинические проявления при поражении этих отделов.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Перечислите виды афазии и локализацию их центров в коре мозга.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Опишите основные проявления геморрагического инсульта и методы диагностики.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Опишите основные проявления ишемического инсульта и методы диагностики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Опишите клинические проявления гнойных и серозных менингитов. Изменения ликвора.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Опишите основные проявления ДЦП и современные методы лечения. Виды нарушений речи при различных формах ДЦП.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Классификация нарушений речи у детей. </w:t>
      </w:r>
    </w:p>
    <w:p w:rsidR="006A67E4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устной речи у детей. </w:t>
      </w:r>
    </w:p>
    <w:p w:rsidR="005E7010" w:rsidRPr="006A67E4" w:rsidRDefault="006A67E4" w:rsidP="006A67E4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E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письменной и устной речи.</w:t>
      </w:r>
    </w:p>
    <w:p w:rsidR="00CC292E" w:rsidRPr="003A32AB" w:rsidRDefault="00CC292E" w:rsidP="003A32A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32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3A32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Промежуточная аттестация</w:t>
      </w:r>
    </w:p>
    <w:p w:rsidR="00CC292E" w:rsidRDefault="00CC292E" w:rsidP="003F03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Типовые вопросы к промежуточной аттестации (</w:t>
      </w:r>
      <w:r w:rsidR="00755DB2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экзамен</w:t>
      </w: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Типы расстройств чувствительности (все).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Центральный и периферический паралич, характеристика.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Синдром Броун-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Секара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, синдромы поперечного поражения спинного мозга на различных уровнях.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Синдром поражения конского хвоста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Расстройство функции тазовых органов. Типы нарушения, их причины.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Синдромы поражения ствола.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Альтернирующие синдромы, топическое значение. Синдром Вебера.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Синдром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Фостер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-Кеннеди.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Синдром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верхнеглазничной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щели.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Зрительный путь, синдромы поражения.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Синдромы поражения глазодвигательного нерва.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Анатомия, физиология и синдромы поражения тройничного нерва.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Иннервация лицевой мускулатуры, центральный и периферические парезы.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Головокружение, виды, причины.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Бульбарный, псевдобульбарный синдромы, их причины, особенности ухода за больными.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сознания, стадии количественного нарушения сознания, план обследования больного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коматозном состоянии.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Анатомия, физиология подкорковых узлов, синдромы поражения (хореический, паркинсонизм).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Дифференциальный диагноз синдрома паркинсонизма.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атаксий, топическое значение.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Синдром поражения внутренней капсулы.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Теории локализации функций в коре головного мозга. Функциональная асимметрия полушарий.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Синдромы поражения отдельных долей головного мозга (лобной, теменной, височной, затылочной).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Джексоновская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эпилепсия, топическое значение.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афазий.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Праксис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гнозис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, их нарушения.</w:t>
      </w:r>
    </w:p>
    <w:p w:rsidR="00B659EB" w:rsidRPr="00865AC8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Пути циркуляции ликвора. Виды водянок. </w:t>
      </w:r>
      <w:proofErr w:type="spellStart"/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Гипертензионный</w:t>
      </w:r>
      <w:proofErr w:type="spellEnd"/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синдром (субъективные, объективные симптомы внутричерепной гипертензии), менингеальный </w:t>
      </w:r>
      <w:proofErr w:type="spellStart"/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симптомокомплекс</w:t>
      </w:r>
      <w:proofErr w:type="spellEnd"/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>, жалобы больных,</w:t>
      </w:r>
      <w:r w:rsid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патогенез, клинические проявления, план обследования.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Дислокационные синдромы в неврологии и нейрохирургии, клиника, тактика.</w:t>
      </w:r>
    </w:p>
    <w:p w:rsidR="00B659EB" w:rsidRPr="00B659EB" w:rsidRDefault="00B659EB" w:rsidP="00434EF8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Методы исследования в неврологии: электрофизиологические, ультразвуковые, рентгенологические, контрастные. Современные методы визуализации (КТ, МРТ). Значение исследований глазного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дна.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Диагностическое значение исследования глазного дна в неврологии и нейрохирургии.</w:t>
      </w:r>
    </w:p>
    <w:p w:rsidR="00B659EB" w:rsidRPr="00865AC8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ликвора в норме, клеточно-белковая и </w:t>
      </w:r>
      <w:proofErr w:type="spellStart"/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белково</w:t>
      </w:r>
      <w:proofErr w:type="spellEnd"/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>-клеточная диссоциации. Оценка анализа</w:t>
      </w:r>
      <w:r w:rsid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65AC8">
        <w:rPr>
          <w:rFonts w:ascii="Times New Roman" w:eastAsia="Times New Roman" w:hAnsi="Times New Roman" w:cs="Times New Roman"/>
          <w:sz w:val="28"/>
          <w:szCs w:val="24"/>
          <w:lang w:eastAsia="ru-RU"/>
        </w:rPr>
        <w:t>ликвора при различных заболеваниях.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исследования вегетативной нервной системы, понятие о вегетативном тонусе, вегетативном реагировании.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Анатомия, физиология гипотал</w:t>
      </w:r>
      <w:r w:rsidR="009365A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мической области, синдромы поражения.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Синдром вегетативной дистонии.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Головные боли в неврологии и нейрохирургии, патогенез, дифференциальный диагноз.</w:t>
      </w:r>
    </w:p>
    <w:p w:rsid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Санкт-Петербургская и Мо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сковская неврологические школы.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Пирамидная система. Её структура и функции.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Современная классификация сосудистых заболеваний головного мозга.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Сотрясение головного мозга. Клиническая картина, диагностика и лечебная тактика.</w:t>
      </w:r>
    </w:p>
    <w:p w:rsidR="00B659EB" w:rsidRPr="00B659EB" w:rsidRDefault="00B659EB" w:rsidP="00434EF8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Расскажите анатомию первого нейрона пирамидного пути в его </w:t>
      </w:r>
      <w:proofErr w:type="spellStart"/>
      <w:proofErr w:type="gram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кортико</w:t>
      </w:r>
      <w:proofErr w:type="spellEnd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-спинальной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части.</w:t>
      </w:r>
    </w:p>
    <w:p w:rsidR="00B659EB" w:rsidRPr="00B659EB" w:rsidRDefault="00B659EB" w:rsidP="00434EF8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Хронические нарушения мозгового кровообра</w:t>
      </w:r>
      <w:r w:rsidR="009365AC">
        <w:rPr>
          <w:rFonts w:ascii="Times New Roman" w:eastAsia="Times New Roman" w:hAnsi="Times New Roman" w:cs="Times New Roman"/>
          <w:sz w:val="28"/>
          <w:szCs w:val="24"/>
          <w:lang w:eastAsia="ru-RU"/>
        </w:rPr>
        <w:t>щ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ения. Клиническая картина различных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стадий. Диагностика. Лечение.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Ушиб головного мозга. Клиническая картина. Диагностические критерии. Лечение.</w:t>
      </w:r>
    </w:p>
    <w:p w:rsidR="00B659EB" w:rsidRPr="00B659EB" w:rsidRDefault="00B659EB" w:rsidP="00434EF8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Расскажите анатомию первого нейрона пирамидного пути его корково-</w:t>
      </w:r>
      <w:proofErr w:type="spellStart"/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нуклеарной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части.</w:t>
      </w:r>
    </w:p>
    <w:p w:rsidR="00B659EB" w:rsidRPr="00B659EB" w:rsidRDefault="00B659EB" w:rsidP="00434EF8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Острые нарушения мозгового кровообращения. Их структура. Различие между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отдельными формами.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построения современной классификации черепно-м</w:t>
      </w:r>
      <w:r w:rsidR="00755DB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зговой травмы.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Какие нарушения будут отмечаться при поражении переднего рога спинного мозга?</w:t>
      </w:r>
    </w:p>
    <w:p w:rsidR="00B659EB" w:rsidRPr="00B659EB" w:rsidRDefault="00B659EB" w:rsidP="00434EF8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</w:t>
      </w:r>
      <w:r w:rsidR="009365AC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я инсультов. Их клиническая и морфологическая дифференциальная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диагностика.</w:t>
      </w:r>
    </w:p>
    <w:p w:rsidR="00B659EB" w:rsidRPr="00B659EB" w:rsidRDefault="00B659EB" w:rsidP="00434EF8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Факторы, приводящие к сдавлению головного мозга при закрытой черепно-мозговой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травме.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Перечислите виды чувствительности.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Гипертонический криз. Клиника. Диагностика. Лечение.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Тактика врача-невролога при травматических сдавлениях головного мозга.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Анатомия 1-го нейрона поверхностной чувствительности.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Клиническая картина ТИА. Диагностика.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спинальных травм.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Анатомия 2-го нейрона поверхностной чувствительности.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Геморрагический инсульт. Этиология. Клиника. Диагностика. Лечение.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Травматические субарахноидальные кровоизлияния. Клиника. Диагностика. Лечение.</w:t>
      </w:r>
    </w:p>
    <w:p w:rsidR="00B659EB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Анатомия 3-го нейрона поверхностной чувствительности.</w:t>
      </w:r>
    </w:p>
    <w:p w:rsidR="00C02C23" w:rsidRPr="00B659EB" w:rsidRDefault="00B659EB" w:rsidP="00B659EB">
      <w:pPr>
        <w:pStyle w:val="a3"/>
        <w:numPr>
          <w:ilvl w:val="0"/>
          <w:numId w:val="26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9EB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Артериальные аневризмы головного мозга.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линика. Диагностика. Лечение. ‘</w:t>
      </w:r>
    </w:p>
    <w:p w:rsidR="00CC292E" w:rsidRPr="00F0005B" w:rsidRDefault="00CC292E" w:rsidP="003F030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F000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Методические материалы, определяющие процедуры оценивания достижения запланированных результатов обучения по дисциплине (модулю)</w:t>
      </w:r>
    </w:p>
    <w:p w:rsidR="00CC292E" w:rsidRPr="00F0005B" w:rsidRDefault="00CC292E" w:rsidP="003F03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Текущая аттестация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устного опроса и участия в дискуссии на семинаре (практическом занятии) учитываются: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раскрытия содержания материала;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изложение материала (грамотность речи, точность использования терминологии и символики, логическая последовательность изложения материала;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знание теории изученных вопросов, </w:t>
      </w:r>
      <w:proofErr w:type="spellStart"/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устойчивость используемых при ответе умений и навыков.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результатов обучения в виде </w:t>
      </w:r>
      <w:r w:rsidRPr="00F00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знаний</w:t>
      </w: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такие процедуры и технологии как тестирование и опрос на семинарах (практических занятиях).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результатов обучения в виде </w:t>
      </w:r>
      <w:r w:rsidRPr="00F00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умений</w:t>
      </w: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00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владений</w:t>
      </w: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процедуры и технологии: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сложности ПКЗ разделяются на простые и комплексные задания.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развернутого ответа, в </w:t>
      </w:r>
      <w:proofErr w:type="spellStart"/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индивидуальное или коллективное выполнение проектов, на выполнение практических действий или лабораторных работ. Комплексные практические задания применяются для оценки владений.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практических контрольных заданий: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последовательности (описать алгоритм выполнения действия),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ошибок в последовательности (определить правильный вариант последовательности действий);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указать возможное влияние факторов на последствия реализации умения и т.д.</w:t>
      </w:r>
    </w:p>
    <w:p w:rsidR="00CC292E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задания на принятие решения в нестандартной ситуации (ситуации выбора, </w:t>
      </w:r>
      <w:proofErr w:type="spellStart"/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многоальтернативност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проблемной ситуации).</w:t>
      </w:r>
    </w:p>
    <w:p w:rsidR="00CC292E" w:rsidRPr="00F0005B" w:rsidRDefault="00CC292E" w:rsidP="003F03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Оценивание обучающегося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текущей </w:t>
      </w:r>
      <w:r w:rsidRPr="00F0005B">
        <w:rPr>
          <w:rFonts w:ascii="Times New Roman" w:eastAsia="Times New Roman" w:hAnsi="Times New Roman" w:cs="Times New Roman"/>
          <w:sz w:val="28"/>
          <w:szCs w:val="24"/>
          <w:lang w:eastAsia="ru-RU"/>
        </w:rPr>
        <w:t>аттестации осуществляется</w:t>
      </w:r>
      <w:r w:rsidRPr="00F0005B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F00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критериями, представленными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 2,</w:t>
      </w:r>
      <w:r w:rsidRPr="00F00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носит балльный характер.</w:t>
      </w:r>
    </w:p>
    <w:p w:rsidR="00CC292E" w:rsidRPr="00F0005B" w:rsidRDefault="00CC292E" w:rsidP="003F03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</w:t>
      </w:r>
    </w:p>
    <w:p w:rsidR="00CC292E" w:rsidRDefault="00CC292E" w:rsidP="003F03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  <w:r w:rsidR="009365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Экзамен</w:t>
      </w: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92E" w:rsidRPr="00F0005B" w:rsidRDefault="00CC292E" w:rsidP="003F03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промежуточной аттестации студент должен ответить на вопросы теоретического характера и практического характера.</w:t>
      </w:r>
    </w:p>
    <w:p w:rsidR="00CC292E" w:rsidRPr="00F0005B" w:rsidRDefault="00CC292E" w:rsidP="003F03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</w:t>
      </w:r>
      <w:r w:rsidRPr="00F0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на вопрос теоретического характера учитывается:</w:t>
      </w:r>
    </w:p>
    <w:p w:rsidR="00CC292E" w:rsidRPr="00F0005B" w:rsidRDefault="00CC292E" w:rsidP="003F0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содержание не освоено, знание материала носит фрагментарный характер, наличие грубых ошибок в ответе;</w:t>
      </w:r>
    </w:p>
    <w:p w:rsidR="00CC292E" w:rsidRPr="00F0005B" w:rsidRDefault="00CC292E" w:rsidP="003F0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содержание освоено частично, допущено не более двух-трех недочетов;</w:t>
      </w:r>
    </w:p>
    <w:p w:rsidR="00CC292E" w:rsidRPr="00F0005B" w:rsidRDefault="00CC292E" w:rsidP="003F0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содержание освоено почти полностью, допущено не более одного-двух недочетов, но обучающийся смог бы их исправить самостоятельно;</w:t>
      </w:r>
    </w:p>
    <w:p w:rsidR="00CC292E" w:rsidRPr="00F0005B" w:rsidRDefault="00CC292E" w:rsidP="003F03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содержание освоено полностью, ответ построен по собственному плану.</w:t>
      </w:r>
    </w:p>
    <w:p w:rsidR="00CC292E" w:rsidRPr="00F0005B" w:rsidRDefault="00CC292E" w:rsidP="003F03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ответа на вопрос практического характера учитывается объем правильного решения.</w:t>
      </w:r>
    </w:p>
    <w:p w:rsidR="00CC292E" w:rsidRPr="00F0005B" w:rsidRDefault="00CC292E" w:rsidP="003F03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определения оценки служит уровень усвоения студентами материала, предусмотренного рабочей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</w:t>
      </w:r>
      <w:r w:rsidRPr="00F00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92E" w:rsidRDefault="00CC292E" w:rsidP="00755DB2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CC292E" w:rsidSect="00CC292E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F0005B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Оценивание обучающегося на промежуточной аттестации осуществляется</w:t>
      </w:r>
      <w:r w:rsidRPr="00F0005B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F00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критериями, представленными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 2,</w:t>
      </w:r>
      <w:r w:rsidRPr="00F000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носит балльный характер.</w:t>
      </w:r>
    </w:p>
    <w:p w:rsidR="00CC292E" w:rsidRPr="00F0005B" w:rsidRDefault="00CC292E" w:rsidP="003F03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C292E" w:rsidRPr="00F0005B" w:rsidSect="00CC292E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B2" w:rsidRDefault="00A015B2" w:rsidP="003F0300">
      <w:pPr>
        <w:spacing w:after="0" w:line="240" w:lineRule="auto"/>
      </w:pPr>
      <w:r>
        <w:separator/>
      </w:r>
    </w:p>
  </w:endnote>
  <w:endnote w:type="continuationSeparator" w:id="0">
    <w:p w:rsidR="00A015B2" w:rsidRDefault="00A015B2" w:rsidP="003F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99032597"/>
      <w:docPartObj>
        <w:docPartGallery w:val="Page Numbers (Bottom of Page)"/>
        <w:docPartUnique/>
      </w:docPartObj>
    </w:sdtPr>
    <w:sdtContent>
      <w:p w:rsidR="00A015B2" w:rsidRPr="003F0300" w:rsidRDefault="00A015B2" w:rsidP="003F030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F0300">
          <w:rPr>
            <w:rFonts w:ascii="Times New Roman" w:hAnsi="Times New Roman" w:cs="Times New Roman"/>
            <w:sz w:val="24"/>
          </w:rPr>
          <w:fldChar w:fldCharType="begin"/>
        </w:r>
        <w:r w:rsidRPr="003F0300">
          <w:rPr>
            <w:rFonts w:ascii="Times New Roman" w:hAnsi="Times New Roman" w:cs="Times New Roman"/>
            <w:sz w:val="24"/>
          </w:rPr>
          <w:instrText>PAGE   \* MERGEFORMAT</w:instrText>
        </w:r>
        <w:r w:rsidRPr="003F0300">
          <w:rPr>
            <w:rFonts w:ascii="Times New Roman" w:hAnsi="Times New Roman" w:cs="Times New Roman"/>
            <w:sz w:val="24"/>
          </w:rPr>
          <w:fldChar w:fldCharType="separate"/>
        </w:r>
        <w:r w:rsidR="009058EC">
          <w:rPr>
            <w:rFonts w:ascii="Times New Roman" w:hAnsi="Times New Roman" w:cs="Times New Roman"/>
            <w:noProof/>
            <w:sz w:val="24"/>
          </w:rPr>
          <w:t>24</w:t>
        </w:r>
        <w:r w:rsidRPr="003F030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634180182"/>
      <w:docPartObj>
        <w:docPartGallery w:val="Page Numbers (Bottom of Page)"/>
        <w:docPartUnique/>
      </w:docPartObj>
    </w:sdtPr>
    <w:sdtContent>
      <w:p w:rsidR="00A015B2" w:rsidRPr="003F0300" w:rsidRDefault="00A015B2" w:rsidP="003F030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F0300">
          <w:rPr>
            <w:rFonts w:ascii="Times New Roman" w:hAnsi="Times New Roman" w:cs="Times New Roman"/>
            <w:sz w:val="24"/>
          </w:rPr>
          <w:fldChar w:fldCharType="begin"/>
        </w:r>
        <w:r w:rsidRPr="003F0300">
          <w:rPr>
            <w:rFonts w:ascii="Times New Roman" w:hAnsi="Times New Roman" w:cs="Times New Roman"/>
            <w:sz w:val="24"/>
          </w:rPr>
          <w:instrText>PAGE   \* MERGEFORMAT</w:instrText>
        </w:r>
        <w:r w:rsidRPr="003F030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3F030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B2" w:rsidRDefault="00A015B2" w:rsidP="003F0300">
      <w:pPr>
        <w:spacing w:after="0" w:line="240" w:lineRule="auto"/>
      </w:pPr>
      <w:r>
        <w:separator/>
      </w:r>
    </w:p>
  </w:footnote>
  <w:footnote w:type="continuationSeparator" w:id="0">
    <w:p w:rsidR="00A015B2" w:rsidRDefault="00A015B2" w:rsidP="003F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321"/>
    <w:multiLevelType w:val="hybridMultilevel"/>
    <w:tmpl w:val="1562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A18"/>
    <w:multiLevelType w:val="hybridMultilevel"/>
    <w:tmpl w:val="1562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3B9A"/>
    <w:multiLevelType w:val="hybridMultilevel"/>
    <w:tmpl w:val="2ECEE3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B97305"/>
    <w:multiLevelType w:val="hybridMultilevel"/>
    <w:tmpl w:val="CE5E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34CC"/>
    <w:multiLevelType w:val="hybridMultilevel"/>
    <w:tmpl w:val="8A86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D3F01"/>
    <w:multiLevelType w:val="hybridMultilevel"/>
    <w:tmpl w:val="AFE2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B1B"/>
    <w:multiLevelType w:val="hybridMultilevel"/>
    <w:tmpl w:val="9522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20476"/>
    <w:multiLevelType w:val="hybridMultilevel"/>
    <w:tmpl w:val="957A0064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372A8"/>
    <w:multiLevelType w:val="hybridMultilevel"/>
    <w:tmpl w:val="B358B048"/>
    <w:lvl w:ilvl="0" w:tplc="82347F96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0532BB"/>
    <w:multiLevelType w:val="hybridMultilevel"/>
    <w:tmpl w:val="FF0C0E3E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A7B56"/>
    <w:multiLevelType w:val="hybridMultilevel"/>
    <w:tmpl w:val="ACBEA512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13F0"/>
    <w:multiLevelType w:val="hybridMultilevel"/>
    <w:tmpl w:val="BE2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7104"/>
    <w:multiLevelType w:val="hybridMultilevel"/>
    <w:tmpl w:val="0B94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A6193"/>
    <w:multiLevelType w:val="hybridMultilevel"/>
    <w:tmpl w:val="18FA9A52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B1F2E"/>
    <w:multiLevelType w:val="hybridMultilevel"/>
    <w:tmpl w:val="E29CF562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2370B"/>
    <w:multiLevelType w:val="hybridMultilevel"/>
    <w:tmpl w:val="A64A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B68AF"/>
    <w:multiLevelType w:val="hybridMultilevel"/>
    <w:tmpl w:val="A9965284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D2C3B"/>
    <w:multiLevelType w:val="hybridMultilevel"/>
    <w:tmpl w:val="F7F64BD4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F53DB"/>
    <w:multiLevelType w:val="hybridMultilevel"/>
    <w:tmpl w:val="7BD62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65660"/>
    <w:multiLevelType w:val="hybridMultilevel"/>
    <w:tmpl w:val="D554887C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43024"/>
    <w:multiLevelType w:val="hybridMultilevel"/>
    <w:tmpl w:val="BE2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52C09"/>
    <w:multiLevelType w:val="hybridMultilevel"/>
    <w:tmpl w:val="33FCBC28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55D39"/>
    <w:multiLevelType w:val="hybridMultilevel"/>
    <w:tmpl w:val="20D6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42826"/>
    <w:multiLevelType w:val="hybridMultilevel"/>
    <w:tmpl w:val="54BAF254"/>
    <w:lvl w:ilvl="0" w:tplc="752470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3C5214A"/>
    <w:multiLevelType w:val="hybridMultilevel"/>
    <w:tmpl w:val="7EAC11A0"/>
    <w:lvl w:ilvl="0" w:tplc="82347F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947AD"/>
    <w:multiLevelType w:val="multilevel"/>
    <w:tmpl w:val="C5C01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55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77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hint="default"/>
        <w:i w:val="0"/>
      </w:r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25"/>
  </w:num>
  <w:num w:numId="5">
    <w:abstractNumId w:val="18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10"/>
  </w:num>
  <w:num w:numId="11">
    <w:abstractNumId w:val="7"/>
  </w:num>
  <w:num w:numId="12">
    <w:abstractNumId w:val="19"/>
  </w:num>
  <w:num w:numId="13">
    <w:abstractNumId w:val="17"/>
  </w:num>
  <w:num w:numId="14">
    <w:abstractNumId w:val="9"/>
  </w:num>
  <w:num w:numId="15">
    <w:abstractNumId w:val="13"/>
  </w:num>
  <w:num w:numId="16">
    <w:abstractNumId w:val="24"/>
  </w:num>
  <w:num w:numId="17">
    <w:abstractNumId w:val="14"/>
  </w:num>
  <w:num w:numId="18">
    <w:abstractNumId w:val="21"/>
  </w:num>
  <w:num w:numId="19">
    <w:abstractNumId w:val="16"/>
  </w:num>
  <w:num w:numId="20">
    <w:abstractNumId w:val="2"/>
  </w:num>
  <w:num w:numId="21">
    <w:abstractNumId w:val="3"/>
  </w:num>
  <w:num w:numId="22">
    <w:abstractNumId w:val="6"/>
  </w:num>
  <w:num w:numId="23">
    <w:abstractNumId w:val="1"/>
  </w:num>
  <w:num w:numId="24">
    <w:abstractNumId w:val="12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00"/>
    <w:rsid w:val="00085EA9"/>
    <w:rsid w:val="000A56FF"/>
    <w:rsid w:val="000E18C9"/>
    <w:rsid w:val="00130594"/>
    <w:rsid w:val="00130C44"/>
    <w:rsid w:val="00132AD1"/>
    <w:rsid w:val="00162632"/>
    <w:rsid w:val="001659D4"/>
    <w:rsid w:val="00172CEB"/>
    <w:rsid w:val="00182BBB"/>
    <w:rsid w:val="00183CDC"/>
    <w:rsid w:val="001A4EF0"/>
    <w:rsid w:val="001C433B"/>
    <w:rsid w:val="001E4B70"/>
    <w:rsid w:val="002317AD"/>
    <w:rsid w:val="002B273C"/>
    <w:rsid w:val="002B4809"/>
    <w:rsid w:val="003A32AB"/>
    <w:rsid w:val="003C3A2C"/>
    <w:rsid w:val="003E4037"/>
    <w:rsid w:val="003F0300"/>
    <w:rsid w:val="00434EF8"/>
    <w:rsid w:val="004974CD"/>
    <w:rsid w:val="004A1FB3"/>
    <w:rsid w:val="004D3CC3"/>
    <w:rsid w:val="00505615"/>
    <w:rsid w:val="00521283"/>
    <w:rsid w:val="00566198"/>
    <w:rsid w:val="0057195D"/>
    <w:rsid w:val="005A14D4"/>
    <w:rsid w:val="005E7010"/>
    <w:rsid w:val="00622832"/>
    <w:rsid w:val="0063357E"/>
    <w:rsid w:val="006371ED"/>
    <w:rsid w:val="00645239"/>
    <w:rsid w:val="006A29F4"/>
    <w:rsid w:val="006A67E4"/>
    <w:rsid w:val="006A6D00"/>
    <w:rsid w:val="006C52CB"/>
    <w:rsid w:val="00753F72"/>
    <w:rsid w:val="00755DB2"/>
    <w:rsid w:val="0076157D"/>
    <w:rsid w:val="00793DC7"/>
    <w:rsid w:val="00865AC8"/>
    <w:rsid w:val="008E2DDD"/>
    <w:rsid w:val="009058EC"/>
    <w:rsid w:val="00910CA9"/>
    <w:rsid w:val="00920ADB"/>
    <w:rsid w:val="009365AC"/>
    <w:rsid w:val="009367BE"/>
    <w:rsid w:val="009619B2"/>
    <w:rsid w:val="009845AA"/>
    <w:rsid w:val="009D7EED"/>
    <w:rsid w:val="00A015B2"/>
    <w:rsid w:val="00A470AA"/>
    <w:rsid w:val="00B26FD6"/>
    <w:rsid w:val="00B659EB"/>
    <w:rsid w:val="00BD0B6A"/>
    <w:rsid w:val="00C02C23"/>
    <w:rsid w:val="00C87067"/>
    <w:rsid w:val="00C94079"/>
    <w:rsid w:val="00CC292E"/>
    <w:rsid w:val="00CE61DF"/>
    <w:rsid w:val="00D17706"/>
    <w:rsid w:val="00D42605"/>
    <w:rsid w:val="00E3767A"/>
    <w:rsid w:val="00EB06B3"/>
    <w:rsid w:val="00F12B63"/>
    <w:rsid w:val="00F274CB"/>
    <w:rsid w:val="00F611A7"/>
    <w:rsid w:val="00F80985"/>
    <w:rsid w:val="00FA41A4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00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3F030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F0300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3F030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300"/>
  </w:style>
  <w:style w:type="paragraph" w:styleId="a7">
    <w:name w:val="footer"/>
    <w:basedOn w:val="a"/>
    <w:link w:val="a8"/>
    <w:uiPriority w:val="99"/>
    <w:unhideWhenUsed/>
    <w:rsid w:val="003F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300"/>
  </w:style>
  <w:style w:type="paragraph" w:styleId="a9">
    <w:name w:val="Balloon Text"/>
    <w:basedOn w:val="a"/>
    <w:link w:val="aa"/>
    <w:uiPriority w:val="99"/>
    <w:semiHidden/>
    <w:unhideWhenUsed/>
    <w:rsid w:val="00A0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00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3F030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F0300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3F030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300"/>
  </w:style>
  <w:style w:type="paragraph" w:styleId="a7">
    <w:name w:val="footer"/>
    <w:basedOn w:val="a"/>
    <w:link w:val="a8"/>
    <w:uiPriority w:val="99"/>
    <w:unhideWhenUsed/>
    <w:rsid w:val="003F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300"/>
  </w:style>
  <w:style w:type="paragraph" w:styleId="a9">
    <w:name w:val="Balloon Text"/>
    <w:basedOn w:val="a"/>
    <w:link w:val="aa"/>
    <w:uiPriority w:val="99"/>
    <w:semiHidden/>
    <w:unhideWhenUsed/>
    <w:rsid w:val="00A0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24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14</cp:revision>
  <cp:lastPrinted>2019-04-11T12:11:00Z</cp:lastPrinted>
  <dcterms:created xsi:type="dcterms:W3CDTF">2018-12-06T06:38:00Z</dcterms:created>
  <dcterms:modified xsi:type="dcterms:W3CDTF">2019-04-11T12:15:00Z</dcterms:modified>
</cp:coreProperties>
</file>